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00" w:rsidRDefault="00674200" w:rsidP="00674200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17 октября 2013г.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Часть I. Повышение эффективности и реструктуризация НТС компании.</w:t>
      </w:r>
    </w:p>
    <w:p w:rsidR="00674200" w:rsidRDefault="00674200" w:rsidP="00674200">
      <w:pPr>
        <w:pStyle w:val="a5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8974"/>
      </w:tblGrid>
      <w:tr w:rsidR="00674200" w:rsidTr="00674200">
        <w:trPr>
          <w:trHeight w:val="438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09</w:t>
            </w:r>
            <w:r>
              <w:rPr>
                <w:color w:val="000000"/>
                <w:vertAlign w:val="superscript"/>
              </w:rPr>
              <w:t>20</w:t>
            </w:r>
            <w:r>
              <w:rPr>
                <w:color w:val="000000"/>
              </w:rPr>
              <w:t>-10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8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Регистрация участников</w:t>
            </w:r>
          </w:p>
        </w:tc>
      </w:tr>
      <w:tr w:rsidR="00674200" w:rsidTr="00674200">
        <w:trPr>
          <w:trHeight w:val="564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00-</w:t>
            </w:r>
            <w:r>
              <w:rPr>
                <w:color w:val="000000"/>
              </w:rPr>
              <w:t>12</w:t>
            </w:r>
            <w:r>
              <w:rPr>
                <w:color w:val="000000"/>
                <w:vertAlign w:val="superscript"/>
              </w:rPr>
              <w:t>30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Рогачев Михаил Борисович /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Директор ФГАУ «РФТР», Член наблюдательного совета территориального инновационного кластера ядерно-физических и </w:t>
            </w:r>
            <w:proofErr w:type="spellStart"/>
            <w:r>
              <w:rPr>
                <w:color w:val="000000"/>
              </w:rPr>
              <w:t>нанотехнологий</w:t>
            </w:r>
            <w:proofErr w:type="spellEnd"/>
            <w:r>
              <w:rPr>
                <w:color w:val="000000"/>
              </w:rPr>
              <w:t xml:space="preserve"> в г. Дубне МО, член Ассоциации независимых директоров, Член Совета директоров ООО «ВЭБ-инжиниринг», Член совета директоров ОАО «РВК», член НС Клуба директоров по науке и инновациям, к.т.н.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Организация и реорганизация корпоративной науки (далее – КН).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proofErr w:type="gramStart"/>
            <w:r>
              <w:rPr>
                <w:color w:val="000000"/>
              </w:rPr>
              <w:t>Типовая</w:t>
            </w:r>
            <w:proofErr w:type="gramEnd"/>
            <w:r>
              <w:rPr>
                <w:color w:val="000000"/>
              </w:rPr>
              <w:t xml:space="preserve"> бизнес-структура КН и ее проблемы.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Мероприятия по повышению эффективности КН и инжиниринга.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Ключевые элементы и мероприятия реорганизации КН.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Опыт совершенствования деятельности предприятия и подразделений научно-технической отрасли на примере ОАО ГМК «Норильский Никель».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Проект реорганизации науки и бизнеса на примере ОАО «НК «ЮКОС».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Координация корпоративного R&amp;D центра с другими исследовательскими центрами.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Примеры структуры управления корпоративной наукой (ОАО «</w:t>
            </w:r>
            <w:proofErr w:type="spellStart"/>
            <w:r>
              <w:rPr>
                <w:color w:val="000000"/>
              </w:rPr>
              <w:t>Сибур</w:t>
            </w:r>
            <w:proofErr w:type="spellEnd"/>
            <w:r>
              <w:rPr>
                <w:color w:val="000000"/>
              </w:rPr>
              <w:t xml:space="preserve"> холдинг», ОАО «Лукойл», «ТНК–ВР»).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Рекомендации по управлению КН.</w:t>
            </w:r>
          </w:p>
        </w:tc>
      </w:tr>
      <w:tr w:rsidR="00674200" w:rsidTr="00674200">
        <w:trPr>
          <w:trHeight w:val="376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vertAlign w:val="superscript"/>
              </w:rPr>
              <w:t>00-</w:t>
            </w:r>
            <w:r>
              <w:rPr>
                <w:color w:val="000000"/>
              </w:rPr>
              <w:t>12</w:t>
            </w:r>
            <w:r>
              <w:rPr>
                <w:color w:val="000000"/>
                <w:vertAlign w:val="superscript"/>
              </w:rPr>
              <w:t>30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Кофе-брейк</w:t>
            </w:r>
          </w:p>
        </w:tc>
      </w:tr>
      <w:tr w:rsidR="00674200" w:rsidTr="00674200">
        <w:trPr>
          <w:trHeight w:val="557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vertAlign w:val="superscript"/>
              </w:rPr>
              <w:t>30</w:t>
            </w:r>
            <w:r>
              <w:rPr>
                <w:color w:val="000000"/>
              </w:rPr>
              <w:t>-14</w:t>
            </w:r>
            <w:r>
              <w:rPr>
                <w:color w:val="000000"/>
                <w:vertAlign w:val="superscript"/>
              </w:rPr>
              <w:t>30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Манцевич</w:t>
            </w:r>
            <w:proofErr w:type="spellEnd"/>
            <w:r>
              <w:rPr>
                <w:b/>
                <w:bCs/>
                <w:color w:val="000000"/>
              </w:rPr>
              <w:t xml:space="preserve"> Николай Маркович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/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Заместитель директора ГНЦ РФ ОАО "</w:t>
            </w:r>
            <w:proofErr w:type="spellStart"/>
            <w:r>
              <w:rPr>
                <w:color w:val="000000"/>
              </w:rPr>
              <w:t>Гиредмет</w:t>
            </w:r>
            <w:proofErr w:type="spellEnd"/>
            <w:r>
              <w:rPr>
                <w:color w:val="000000"/>
              </w:rPr>
              <w:t>", заместитель генерального директора ГНЦ РФ ОАО "НПО ЦНИИТМАШ" - директор центра перспективного материаловедения, д.т.н.</w:t>
            </w:r>
          </w:p>
          <w:p w:rsidR="00674200" w:rsidRDefault="00674200">
            <w:pPr>
              <w:pStyle w:val="a5"/>
              <w:spacing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  <w:sz w:val="20"/>
                <w:szCs w:val="2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Проект организации центров перспективных исследований </w:t>
            </w:r>
            <w:proofErr w:type="spellStart"/>
            <w:r>
              <w:rPr>
                <w:rFonts w:ascii="Arial" w:hAnsi="Arial" w:cs="Arial"/>
                <w:color w:val="000000"/>
              </w:rPr>
              <w:t>госкорпорации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</w:rPr>
              <w:t>Росатом</w:t>
            </w:r>
            <w:proofErr w:type="spellEnd"/>
            <w:r>
              <w:rPr>
                <w:rFonts w:ascii="Arial" w:hAnsi="Arial" w:cs="Arial"/>
                <w:color w:val="000000"/>
              </w:rPr>
              <w:t>".</w:t>
            </w:r>
          </w:p>
          <w:p w:rsidR="00674200" w:rsidRDefault="00674200">
            <w:pPr>
              <w:pStyle w:val="a5"/>
              <w:spacing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</w:rPr>
              <w:t>Современные особенности научных исследований. Модель открытых инноваций.</w:t>
            </w:r>
          </w:p>
          <w:p w:rsidR="00674200" w:rsidRDefault="00674200">
            <w:pPr>
              <w:pStyle w:val="a5"/>
              <w:spacing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Ключевые стратегии </w:t>
            </w:r>
            <w:proofErr w:type="spellStart"/>
            <w:r>
              <w:rPr>
                <w:rFonts w:ascii="Arial" w:hAnsi="Arial" w:cs="Arial"/>
                <w:color w:val="000000"/>
              </w:rPr>
              <w:t>госкорпорации</w:t>
            </w:r>
            <w:proofErr w:type="spellEnd"/>
            <w:r>
              <w:rPr>
                <w:rFonts w:ascii="Arial" w:hAnsi="Arial" w:cs="Arial"/>
                <w:color w:val="000000"/>
              </w:rPr>
              <w:t>. Кооперация и объединение ресурсов – ключевой фактор конкурентоспособности в современной науке.</w:t>
            </w:r>
          </w:p>
          <w:p w:rsidR="00674200" w:rsidRDefault="00674200">
            <w:pPr>
              <w:pStyle w:val="a5"/>
              <w:spacing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</w:rPr>
              <w:t>Центры перспективных исследований: принципы создания и модель деятельности.</w:t>
            </w:r>
          </w:p>
          <w:p w:rsidR="00674200" w:rsidRDefault="00674200">
            <w:pPr>
              <w:pStyle w:val="a5"/>
              <w:spacing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</w:rPr>
              <w:t>Как это может выглядеть: проекты.</w:t>
            </w:r>
          </w:p>
        </w:tc>
      </w:tr>
      <w:tr w:rsidR="00674200" w:rsidTr="00674200">
        <w:trPr>
          <w:trHeight w:val="302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vertAlign w:val="superscript"/>
              </w:rPr>
              <w:t>30</w:t>
            </w:r>
            <w:r>
              <w:rPr>
                <w:color w:val="000000"/>
              </w:rPr>
              <w:t>-15</w:t>
            </w:r>
            <w:r>
              <w:rPr>
                <w:color w:val="000000"/>
                <w:vertAlign w:val="superscript"/>
              </w:rPr>
              <w:t>30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Обед</w:t>
            </w:r>
          </w:p>
        </w:tc>
      </w:tr>
      <w:tr w:rsidR="00674200" w:rsidTr="00674200">
        <w:trPr>
          <w:trHeight w:val="54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vertAlign w:val="superscript"/>
              </w:rPr>
              <w:t>30-</w:t>
            </w:r>
            <w:r>
              <w:rPr>
                <w:color w:val="000000"/>
              </w:rPr>
              <w:t>17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Санатов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Дмитрий Васильевич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/ Руководитель проектного направления Фонда </w:t>
            </w:r>
            <w:r>
              <w:rPr>
                <w:color w:val="000000"/>
                <w:shd w:val="clear" w:color="auto" w:fill="FFFFFF"/>
              </w:rPr>
              <w:lastRenderedPageBreak/>
              <w:t>«Центр стратегических разработок «Северо-Запад»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435D80"/>
              </w:rPr>
              <w:t></w:t>
            </w:r>
            <w:r>
              <w:rPr>
                <w:color w:val="435D80"/>
                <w:sz w:val="14"/>
                <w:szCs w:val="14"/>
              </w:rPr>
              <w:t> </w:t>
            </w:r>
            <w:r>
              <w:rPr>
                <w:rStyle w:val="apple-converted-space"/>
                <w:color w:val="435D80"/>
                <w:sz w:val="14"/>
                <w:szCs w:val="14"/>
              </w:rPr>
              <w:t> </w:t>
            </w:r>
            <w:r>
              <w:rPr>
                <w:color w:val="000000"/>
                <w:shd w:val="clear" w:color="auto" w:fill="FFFFFF"/>
              </w:rPr>
              <w:t>Условия проектирования инжиниринговых центров. Кейсы новых технологических рынков.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435D80"/>
              </w:rPr>
              <w:t></w:t>
            </w:r>
            <w:r>
              <w:rPr>
                <w:color w:val="435D80"/>
                <w:sz w:val="14"/>
                <w:szCs w:val="14"/>
              </w:rPr>
              <w:t> </w:t>
            </w:r>
            <w:r>
              <w:rPr>
                <w:rStyle w:val="apple-converted-space"/>
                <w:color w:val="435D80"/>
                <w:sz w:val="14"/>
                <w:szCs w:val="14"/>
              </w:rPr>
              <w:t> </w:t>
            </w:r>
            <w:r>
              <w:rPr>
                <w:color w:val="000000"/>
                <w:shd w:val="clear" w:color="auto" w:fill="FFFFFF"/>
              </w:rPr>
              <w:t>Основные технологические задачи, стоящие перед инжинирингом. Мировая практика.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435D80"/>
              </w:rPr>
              <w:t></w:t>
            </w:r>
            <w:r>
              <w:rPr>
                <w:color w:val="435D80"/>
                <w:sz w:val="14"/>
                <w:szCs w:val="14"/>
              </w:rPr>
              <w:t> </w:t>
            </w:r>
            <w:r>
              <w:rPr>
                <w:rStyle w:val="apple-converted-space"/>
                <w:color w:val="435D80"/>
                <w:sz w:val="14"/>
                <w:szCs w:val="14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Направления развития технологических систем на примере новых технологических рынков (танкостроение, лазерные технологии, робототехника, </w:t>
            </w:r>
            <w:proofErr w:type="spellStart"/>
            <w:r>
              <w:rPr>
                <w:color w:val="000000"/>
                <w:shd w:val="clear" w:color="auto" w:fill="FFFFFF"/>
              </w:rPr>
              <w:t>смард-грид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др.)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  <w:sz w:val="20"/>
                <w:szCs w:val="2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Выводы для государственной промышленной политики и для корпоративных стратегий.</w:t>
            </w:r>
          </w:p>
        </w:tc>
      </w:tr>
      <w:tr w:rsidR="00674200" w:rsidTr="00674200">
        <w:trPr>
          <w:trHeight w:val="242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17</w:t>
            </w:r>
            <w:r>
              <w:rPr>
                <w:color w:val="000000"/>
                <w:vertAlign w:val="superscript"/>
              </w:rPr>
              <w:t>00</w:t>
            </w:r>
            <w:r>
              <w:rPr>
                <w:color w:val="000000"/>
              </w:rPr>
              <w:t>-18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Кириллова Наталья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Лимовна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/ Генеральный директор инжиниринговой компании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ЗАО  «Фирма «Перманент K&amp;M», Руководитель рабочей группы по </w:t>
            </w:r>
            <w:proofErr w:type="spellStart"/>
            <w:r>
              <w:rPr>
                <w:color w:val="000000"/>
                <w:shd w:val="clear" w:color="auto" w:fill="FFFFFF"/>
              </w:rPr>
              <w:t>инжинирнгу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Комитета ТПП РФ по инвестиционной политике</w:t>
            </w:r>
          </w:p>
          <w:p w:rsidR="00674200" w:rsidRDefault="00674200">
            <w:pPr>
              <w:pStyle w:val="a5"/>
              <w:spacing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hd w:val="clear" w:color="auto" w:fill="FFFFFF"/>
              </w:rPr>
              <w:t>Тема на согласовании</w:t>
            </w:r>
          </w:p>
        </w:tc>
      </w:tr>
    </w:tbl>
    <w:p w:rsidR="00674200" w:rsidRDefault="00674200" w:rsidP="00674200">
      <w:pPr>
        <w:pStyle w:val="a5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4200" w:rsidRDefault="00674200" w:rsidP="00674200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18 октября 2013г.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Часть II. Создание и развитие инжиниринговых центров в России.</w:t>
      </w:r>
    </w:p>
    <w:p w:rsidR="00674200" w:rsidRDefault="00674200" w:rsidP="00674200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 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8974"/>
      </w:tblGrid>
      <w:tr w:rsidR="00674200" w:rsidTr="00674200">
        <w:trPr>
          <w:trHeight w:val="706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00-</w:t>
            </w:r>
            <w:r>
              <w:rPr>
                <w:color w:val="000000"/>
              </w:rPr>
              <w:t>12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8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Мишин Сергей Алексеевич /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Независимый консультант в области инжиниринга и управления проектами, </w:t>
            </w: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-м.н</w:t>
            </w:r>
            <w:proofErr w:type="spellEnd"/>
            <w:r>
              <w:rPr>
                <w:color w:val="000000"/>
              </w:rPr>
              <w:t>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b/>
                <w:bCs/>
                <w:color w:val="000000"/>
              </w:rPr>
              <w:t>Немного методологии</w:t>
            </w:r>
            <w:r>
              <w:rPr>
                <w:color w:val="000000"/>
              </w:rPr>
              <w:t xml:space="preserve">. Инженерная деятельность </w:t>
            </w:r>
            <w:proofErr w:type="spellStart"/>
            <w:r>
              <w:rPr>
                <w:color w:val="000000"/>
              </w:rPr>
              <w:t>vs</w:t>
            </w:r>
            <w:proofErr w:type="spellEnd"/>
            <w:r>
              <w:rPr>
                <w:color w:val="000000"/>
              </w:rPr>
              <w:t>. инженерный бизнес. Инжиниринговая рента.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b/>
                <w:bCs/>
                <w:color w:val="000000"/>
              </w:rPr>
              <w:t>Рекомендации для практики.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Покупатель инжиниринговых услуг, заказчик. Продавец инжиниринговых услуг, продавец. Интерфейс взаимодействия.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b/>
                <w:bCs/>
                <w:color w:val="000000"/>
              </w:rPr>
              <w:t>Развитие инжиниринга.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Статус инжиниринговых центров у продавца и покупателя. Ключевые точки отставания. Где может быть участие государства.</w:t>
            </w:r>
          </w:p>
        </w:tc>
      </w:tr>
      <w:tr w:rsidR="00674200" w:rsidTr="00674200">
        <w:trPr>
          <w:trHeight w:val="304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vertAlign w:val="superscript"/>
              </w:rPr>
              <w:t>00-</w:t>
            </w:r>
            <w:r>
              <w:rPr>
                <w:color w:val="000000"/>
              </w:rPr>
              <w:t>12</w:t>
            </w:r>
            <w:r>
              <w:rPr>
                <w:color w:val="000000"/>
                <w:vertAlign w:val="superscript"/>
              </w:rPr>
              <w:t>30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Кофе-брейк</w:t>
            </w:r>
          </w:p>
        </w:tc>
      </w:tr>
      <w:tr w:rsidR="00674200" w:rsidTr="00674200">
        <w:trPr>
          <w:trHeight w:val="1731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vertAlign w:val="superscript"/>
              </w:rPr>
              <w:t>30-</w:t>
            </w:r>
            <w:r>
              <w:rPr>
                <w:color w:val="000000"/>
              </w:rPr>
              <w:t>15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Корзников</w:t>
            </w:r>
            <w:proofErr w:type="spellEnd"/>
            <w:r>
              <w:rPr>
                <w:b/>
                <w:bCs/>
                <w:color w:val="000000"/>
              </w:rPr>
              <w:t xml:space="preserve"> Александр Михайлович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/ Руководитель аналитического центра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4"/>
                <w:b w:val="0"/>
                <w:bCs w:val="0"/>
                <w:color w:val="000000"/>
                <w:shd w:val="clear" w:color="auto" w:fill="FFFFFF"/>
              </w:rPr>
              <w:t>ФГАУ «</w:t>
            </w:r>
            <w:proofErr w:type="spellStart"/>
            <w:r>
              <w:rPr>
                <w:rStyle w:val="a4"/>
                <w:b w:val="0"/>
                <w:bCs w:val="0"/>
                <w:color w:val="000000"/>
                <w:shd w:val="clear" w:color="auto" w:fill="FFFFFF"/>
              </w:rPr>
              <w:t>РФТР»</w:t>
            </w:r>
            <w:proofErr w:type="gramStart"/>
            <w:r>
              <w:rPr>
                <w:rStyle w:val="a4"/>
                <w:b w:val="0"/>
                <w:bCs w:val="0"/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>д</w:t>
            </w:r>
            <w:proofErr w:type="gramEnd"/>
            <w:r>
              <w:rPr>
                <w:color w:val="000000"/>
                <w:shd w:val="clear" w:color="auto" w:fill="FFFFFF"/>
              </w:rPr>
              <w:t>иректор</w:t>
            </w:r>
            <w:proofErr w:type="spellEnd"/>
            <w:r>
              <w:rPr>
                <w:color w:val="000000"/>
                <w:shd w:val="clear" w:color="auto" w:fill="FFFFFF"/>
              </w:rPr>
              <w:t> центра коммерциализаций технологий НИТУ «</w:t>
            </w:r>
            <w:proofErr w:type="spellStart"/>
            <w:r>
              <w:rPr>
                <w:color w:val="000000"/>
                <w:shd w:val="clear" w:color="auto" w:fill="FFFFFF"/>
              </w:rPr>
              <w:t>МИСиС</w:t>
            </w:r>
            <w:proofErr w:type="spellEnd"/>
            <w:r>
              <w:rPr>
                <w:color w:val="000000"/>
                <w:shd w:val="clear" w:color="auto" w:fill="FFFFFF"/>
              </w:rPr>
              <w:t>»,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</w:rPr>
              <w:t>к.ю.н</w:t>
            </w:r>
            <w:proofErr w:type="spellEnd"/>
            <w:r>
              <w:rPr>
                <w:color w:val="000000"/>
              </w:rPr>
              <w:t>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b/>
                <w:bCs/>
                <w:color w:val="000000"/>
              </w:rPr>
              <w:t>Создание инжинирингового центра. С чего начинать?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Разработка концепции и организационно-финансовой модели деятельности инжинирингового центра, формирование базовых требований со стороны корпорации и отражение их в проектном задании, организация проектной группы.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b/>
                <w:bCs/>
                <w:color w:val="000000"/>
              </w:rPr>
              <w:t>Современные требования и тенденции организации исследовательской материально-технической инфраструктуры.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Критерии оценки и системы сертификации инфраструктурных центров LEED и BREEAM. Примеры инженерных решений по обеспечению показателей эффективности. Примеры стандартных планировок для помещений различного типа.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b/>
                <w:bCs/>
                <w:color w:val="000000"/>
              </w:rPr>
              <w:t>Стоимостная оценка инфраструктурного проекта.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Принципы оценки расходов за жизненный цикл (LCCA).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lastRenderedPageBreak/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b/>
                <w:bCs/>
                <w:color w:val="000000"/>
              </w:rPr>
              <w:t>Ответы на вопросы.</w:t>
            </w:r>
          </w:p>
        </w:tc>
      </w:tr>
      <w:tr w:rsidR="00674200" w:rsidTr="00674200">
        <w:trPr>
          <w:trHeight w:val="236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15</w:t>
            </w:r>
            <w:r>
              <w:rPr>
                <w:color w:val="000000"/>
                <w:vertAlign w:val="superscript"/>
              </w:rPr>
              <w:t>00-</w:t>
            </w:r>
            <w:r>
              <w:rPr>
                <w:color w:val="000000"/>
              </w:rPr>
              <w:t>16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Обед</w:t>
            </w:r>
          </w:p>
        </w:tc>
      </w:tr>
      <w:tr w:rsidR="00674200" w:rsidTr="00674200">
        <w:trPr>
          <w:trHeight w:val="273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  <w:vertAlign w:val="superscript"/>
              </w:rPr>
              <w:t>00</w:t>
            </w:r>
            <w:r>
              <w:rPr>
                <w:color w:val="000000"/>
              </w:rPr>
              <w:t>-16</w:t>
            </w:r>
            <w:r>
              <w:rPr>
                <w:color w:val="000000"/>
                <w:vertAlign w:val="superscript"/>
              </w:rPr>
              <w:t>45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Иванов Владимир Филиппович /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Управляющий партнер ООО "Спектрум-Холдинг"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  <w:sz w:val="20"/>
                <w:szCs w:val="2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Создание российской инжиниринговой компании: накопление опыта как ресурс развития.</w:t>
            </w:r>
          </w:p>
        </w:tc>
      </w:tr>
      <w:tr w:rsidR="00674200" w:rsidTr="00674200">
        <w:trPr>
          <w:trHeight w:val="561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  <w:vertAlign w:val="superscript"/>
              </w:rPr>
              <w:t>45</w:t>
            </w:r>
            <w:r>
              <w:rPr>
                <w:color w:val="000000"/>
              </w:rPr>
              <w:t>-17</w:t>
            </w:r>
            <w:r>
              <w:rPr>
                <w:color w:val="000000"/>
                <w:vertAlign w:val="superscript"/>
              </w:rPr>
              <w:t>30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Коробов Андрей Павлович /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Директор по международному деловому развитию </w:t>
            </w:r>
            <w:proofErr w:type="spellStart"/>
            <w:r>
              <w:rPr>
                <w:color w:val="000000"/>
              </w:rPr>
              <w:t>Агиплан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ГмбХ</w:t>
            </w:r>
            <w:proofErr w:type="spellEnd"/>
            <w:r>
              <w:rPr>
                <w:color w:val="000000"/>
              </w:rPr>
              <w:t>, Германия</w:t>
            </w:r>
          </w:p>
          <w:p w:rsidR="00674200" w:rsidRDefault="00674200">
            <w:pPr>
              <w:pStyle w:val="a5"/>
              <w:spacing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</w:rPr>
              <w:t>Специфика инжиниринга в России. Техника – это только одна из дисциплин инжиниринга.</w:t>
            </w:r>
          </w:p>
        </w:tc>
      </w:tr>
      <w:tr w:rsidR="00674200" w:rsidTr="00674200">
        <w:trPr>
          <w:trHeight w:val="561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  <w:vertAlign w:val="superscript"/>
              </w:rPr>
              <w:t>30</w:t>
            </w:r>
            <w:r>
              <w:rPr>
                <w:color w:val="000000"/>
              </w:rPr>
              <w:t>-18</w:t>
            </w:r>
            <w:r>
              <w:rPr>
                <w:color w:val="000000"/>
                <w:vertAlign w:val="superscript"/>
              </w:rPr>
              <w:t>30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Рогачев М.Б.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/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Заключительная часть: подведение итогов семинара.</w:t>
            </w:r>
          </w:p>
          <w:p w:rsidR="00674200" w:rsidRDefault="00674200">
            <w:pPr>
              <w:pStyle w:val="a5"/>
              <w:spacing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Современный этап в организации и развитии инжиниринговых центров в России.</w:t>
            </w:r>
          </w:p>
        </w:tc>
      </w:tr>
    </w:tbl>
    <w:p w:rsidR="00674200" w:rsidRDefault="00674200" w:rsidP="006742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4200" w:rsidRDefault="00674200" w:rsidP="00674200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b/>
          <w:bCs/>
          <w:i w:val="0"/>
          <w:iCs w:val="0"/>
          <w:color w:val="000000"/>
          <w:sz w:val="28"/>
          <w:szCs w:val="28"/>
          <w:u w:val="single"/>
        </w:rPr>
        <w:t>ПРИНЯТЬ УЧАСТИЕ:</w:t>
      </w:r>
    </w:p>
    <w:p w:rsidR="00674200" w:rsidRDefault="00674200" w:rsidP="00674200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 </w:t>
      </w:r>
    </w:p>
    <w:p w:rsidR="00674200" w:rsidRDefault="00674200" w:rsidP="0067420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26 500руб.</w:t>
      </w:r>
      <w:r>
        <w:rPr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За участие 2-х и более слушателей скидка- 10%. Возможно участие по гарантийному письму!</w:t>
      </w:r>
    </w:p>
    <w:p w:rsidR="00674200" w:rsidRDefault="00674200" w:rsidP="0067420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Помощь при бронировании гостиницы!</w:t>
      </w:r>
    </w:p>
    <w:p w:rsidR="00674200" w:rsidRDefault="00674200" w:rsidP="0067420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674200" w:rsidRDefault="00674200" w:rsidP="0067420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u w:val="single"/>
        </w:rPr>
        <w:t>СПЕЦПРЕДЛОЖЕНИЕ</w:t>
      </w:r>
      <w:r>
        <w:rPr>
          <w:rFonts w:ascii="Arial" w:hAnsi="Arial" w:cs="Arial"/>
          <w:b/>
          <w:bCs/>
          <w:color w:val="000000"/>
        </w:rPr>
        <w:t>: 4 чел – 80000 руб.</w:t>
      </w:r>
    </w:p>
    <w:p w:rsidR="00674200" w:rsidRDefault="00674200" w:rsidP="006742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>              </w:t>
      </w:r>
    </w:p>
    <w:p w:rsidR="00674200" w:rsidRDefault="00674200" w:rsidP="006742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  <w:t>РЕГИСТРАЦИЯ:(495)-722-94-18, (495) 233-76-02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ф/а </w:t>
      </w:r>
      <w:r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  <w:t>(499) 152-87-62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</w:p>
    <w:p w:rsidR="00674200" w:rsidRDefault="00674200" w:rsidP="006742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r>
          <w:rPr>
            <w:rStyle w:val="a3"/>
            <w:rFonts w:ascii="Arial" w:hAnsi="Arial" w:cs="Arial"/>
            <w:color w:val="1155CC"/>
            <w:sz w:val="26"/>
            <w:szCs w:val="26"/>
            <w:shd w:val="clear" w:color="auto" w:fill="FFFFFF"/>
            <w:lang w:val="en-US"/>
          </w:rPr>
          <w:t>seminar</w:t>
        </w:r>
        <w:r>
          <w:rPr>
            <w:rStyle w:val="a3"/>
            <w:rFonts w:ascii="Arial" w:hAnsi="Arial" w:cs="Arial"/>
            <w:color w:val="1155CC"/>
            <w:sz w:val="26"/>
            <w:szCs w:val="26"/>
            <w:shd w:val="clear" w:color="auto" w:fill="FFFFFF"/>
          </w:rPr>
          <w:t>-</w:t>
        </w:r>
        <w:r>
          <w:rPr>
            <w:rStyle w:val="a3"/>
            <w:rFonts w:ascii="Arial" w:hAnsi="Arial" w:cs="Arial"/>
            <w:color w:val="1155CC"/>
            <w:sz w:val="26"/>
            <w:szCs w:val="26"/>
            <w:shd w:val="clear" w:color="auto" w:fill="FFFFFF"/>
            <w:lang w:val="en-US"/>
          </w:rPr>
          <w:t>ipk</w:t>
        </w:r>
        <w:r>
          <w:rPr>
            <w:rStyle w:val="a3"/>
            <w:rFonts w:ascii="Arial" w:hAnsi="Arial" w:cs="Arial"/>
            <w:color w:val="1155CC"/>
            <w:sz w:val="26"/>
            <w:szCs w:val="26"/>
            <w:shd w:val="clear" w:color="auto" w:fill="FFFFFF"/>
          </w:rPr>
          <w:t>@</w:t>
        </w:r>
        <w:r>
          <w:rPr>
            <w:rStyle w:val="a3"/>
            <w:rFonts w:ascii="Arial" w:hAnsi="Arial" w:cs="Arial"/>
            <w:color w:val="1155CC"/>
            <w:sz w:val="26"/>
            <w:szCs w:val="26"/>
            <w:shd w:val="clear" w:color="auto" w:fill="FFFFFF"/>
            <w:lang w:val="en-US"/>
          </w:rPr>
          <w:t>mail</w:t>
        </w:r>
        <w:r>
          <w:rPr>
            <w:rStyle w:val="a3"/>
            <w:rFonts w:ascii="Arial" w:hAnsi="Arial" w:cs="Arial"/>
            <w:color w:val="1155CC"/>
            <w:sz w:val="26"/>
            <w:szCs w:val="26"/>
            <w:shd w:val="clear" w:color="auto" w:fill="FFFFFF"/>
          </w:rPr>
          <w:t>.</w:t>
        </w:r>
        <w:r>
          <w:rPr>
            <w:rStyle w:val="a3"/>
            <w:rFonts w:ascii="Arial" w:hAnsi="Arial" w:cs="Arial"/>
            <w:color w:val="1155CC"/>
            <w:sz w:val="26"/>
            <w:szCs w:val="26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litvinenko</w:t>
        </w:r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@</w:t>
        </w:r>
        <w:r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rftr</w:t>
        </w:r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.</w:t>
        </w:r>
        <w:r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 </w:t>
      </w:r>
      <w:hyperlink r:id="rId7" w:tgtFrame="_blank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tramus</w:t>
        </w:r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@</w:t>
        </w:r>
        <w:r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tramus</w:t>
        </w:r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.</w:t>
        </w:r>
        <w:r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674200" w:rsidRDefault="00674200" w:rsidP="006742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 </w:t>
      </w:r>
    </w:p>
    <w:p w:rsidR="00674200" w:rsidRDefault="00674200" w:rsidP="0067420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РЕГИСТРАЦИОННАЯ ФОРМА*</w:t>
      </w:r>
    </w:p>
    <w:p w:rsidR="00674200" w:rsidRDefault="00674200" w:rsidP="006742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674200" w:rsidRDefault="00674200" w:rsidP="0067420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tbl>
      <w:tblPr>
        <w:tblW w:w="1020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966"/>
      </w:tblGrid>
      <w:tr w:rsidR="00674200" w:rsidTr="00674200">
        <w:trPr>
          <w:trHeight w:val="36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Название организации:</w:t>
            </w:r>
          </w:p>
        </w:tc>
        <w:tc>
          <w:tcPr>
            <w:tcW w:w="6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4200" w:rsidTr="00674200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Сфера деятельности: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4200" w:rsidTr="00674200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Адрес: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74200" w:rsidTr="00674200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Телефон/факс: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74200" w:rsidTr="00674200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Сайт/ электронная почта: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674200" w:rsidTr="00674200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Ответственное лицо (ФИО, контактный телефон,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):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74200" w:rsidTr="00674200">
        <w:trPr>
          <w:trHeight w:val="54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Реквизиты: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74200" w:rsidTr="00674200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ФИО/должность/на основании чего действует сотрудника, подписывающего договор: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74200" w:rsidTr="00674200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ФИО главного бухгалтера, телефон/факс: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74200" w:rsidRDefault="00674200" w:rsidP="006742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4200" w:rsidRDefault="00674200" w:rsidP="0067420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Информация об участниках:</w:t>
      </w:r>
    </w:p>
    <w:p w:rsidR="00674200" w:rsidRDefault="00674200" w:rsidP="0067420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366"/>
        <w:gridCol w:w="2867"/>
        <w:gridCol w:w="2156"/>
      </w:tblGrid>
      <w:tr w:rsidR="00674200" w:rsidTr="00674200">
        <w:trPr>
          <w:trHeight w:val="686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Ф.И.О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Мобильный/рабочий</w:t>
            </w:r>
          </w:p>
          <w:p w:rsidR="00674200" w:rsidRDefault="00674200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телефоны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en-US"/>
              </w:rPr>
              <w:t>E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  <w:lang w:val="en-US"/>
              </w:rPr>
              <w:t>mail</w:t>
            </w:r>
            <w:bookmarkStart w:id="0" w:name="_GoBack"/>
            <w:bookmarkEnd w:id="0"/>
          </w:p>
        </w:tc>
      </w:tr>
      <w:tr w:rsidR="00674200" w:rsidTr="00674200">
        <w:trPr>
          <w:trHeight w:val="568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74200" w:rsidTr="00674200">
        <w:trPr>
          <w:trHeight w:val="568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0" w:rsidRDefault="0067420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674200" w:rsidRDefault="00674200" w:rsidP="006742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674200" w:rsidRDefault="00674200" w:rsidP="006742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674200" w:rsidRDefault="00674200" w:rsidP="006742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Необходимость гостиницы:  __________________</w:t>
      </w:r>
    </w:p>
    <w:p w:rsidR="00674200" w:rsidRDefault="00674200" w:rsidP="006742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674200" w:rsidRDefault="00674200" w:rsidP="006742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 заезда/выезда: __________________________</w:t>
      </w:r>
    </w:p>
    <w:p w:rsidR="00674200" w:rsidRDefault="00674200" w:rsidP="00674200">
      <w:pPr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</w:pPr>
      <w:r>
        <w:rPr>
          <w:color w:val="888888"/>
          <w:sz w:val="26"/>
          <w:szCs w:val="26"/>
          <w:shd w:val="clear" w:color="auto" w:fill="FFFFFF"/>
        </w:rPr>
        <w:t> </w:t>
      </w:r>
    </w:p>
    <w:p w:rsidR="00B8308E" w:rsidRPr="00674200" w:rsidRDefault="00B8308E" w:rsidP="00674200"/>
    <w:sectPr w:rsidR="00B8308E" w:rsidRPr="00674200" w:rsidSect="00674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99"/>
    <w:rsid w:val="00173121"/>
    <w:rsid w:val="00357699"/>
    <w:rsid w:val="00674200"/>
    <w:rsid w:val="00A5382E"/>
    <w:rsid w:val="00B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121"/>
    <w:rPr>
      <w:color w:val="0000FF"/>
      <w:u w:val="single"/>
    </w:rPr>
  </w:style>
  <w:style w:type="character" w:styleId="a4">
    <w:name w:val="Strong"/>
    <w:basedOn w:val="a0"/>
    <w:uiPriority w:val="22"/>
    <w:qFormat/>
    <w:rsid w:val="00173121"/>
    <w:rPr>
      <w:b/>
      <w:bCs/>
    </w:rPr>
  </w:style>
  <w:style w:type="character" w:customStyle="1" w:styleId="apple-converted-space">
    <w:name w:val="apple-converted-space"/>
    <w:basedOn w:val="a0"/>
    <w:rsid w:val="00173121"/>
  </w:style>
  <w:style w:type="paragraph" w:styleId="a5">
    <w:name w:val="Normal (Web)"/>
    <w:basedOn w:val="a"/>
    <w:uiPriority w:val="99"/>
    <w:unhideWhenUsed/>
    <w:rsid w:val="0067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42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121"/>
    <w:rPr>
      <w:color w:val="0000FF"/>
      <w:u w:val="single"/>
    </w:rPr>
  </w:style>
  <w:style w:type="character" w:styleId="a4">
    <w:name w:val="Strong"/>
    <w:basedOn w:val="a0"/>
    <w:uiPriority w:val="22"/>
    <w:qFormat/>
    <w:rsid w:val="00173121"/>
    <w:rPr>
      <w:b/>
      <w:bCs/>
    </w:rPr>
  </w:style>
  <w:style w:type="character" w:customStyle="1" w:styleId="apple-converted-space">
    <w:name w:val="apple-converted-space"/>
    <w:basedOn w:val="a0"/>
    <w:rsid w:val="00173121"/>
  </w:style>
  <w:style w:type="paragraph" w:styleId="a5">
    <w:name w:val="Normal (Web)"/>
    <w:basedOn w:val="a"/>
    <w:uiPriority w:val="99"/>
    <w:unhideWhenUsed/>
    <w:rsid w:val="0067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42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30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sentmsg?mailto=mailto%3atramus@tramu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sentmsg?mailto=mailto%3alitvinenko@rftr.ru" TargetMode="External"/><Relationship Id="rId5" Type="http://schemas.openxmlformats.org/officeDocument/2006/relationships/hyperlink" Target="mailto:seminar-ip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2</cp:revision>
  <dcterms:created xsi:type="dcterms:W3CDTF">2013-10-10T12:33:00Z</dcterms:created>
  <dcterms:modified xsi:type="dcterms:W3CDTF">2013-10-10T12:33:00Z</dcterms:modified>
</cp:coreProperties>
</file>